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Autospacing="0" w:afterAutospacing="0" w:line="520" w:lineRule="exact"/>
        <w:jc w:val="center"/>
        <w:rPr>
          <w:rFonts w:ascii="方正小标宋简体" w:hAnsi="方正小标宋简体" w:eastAsia="方正小标宋简体" w:cs="方正小标宋简体"/>
          <w:color w:val="000000"/>
          <w:sz w:val="44"/>
          <w:szCs w:val="44"/>
        </w:rPr>
      </w:pPr>
      <w:bookmarkStart w:id="1" w:name="_GoBack"/>
      <w:r>
        <w:rPr>
          <w:rFonts w:hint="eastAsia" w:ascii="方正小标宋简体" w:hAnsi="方正小标宋简体" w:eastAsia="方正小标宋简体" w:cs="方正小标宋简体"/>
          <w:color w:val="000000"/>
          <w:sz w:val="44"/>
          <w:szCs w:val="44"/>
        </w:rPr>
        <w:t>福州市全过程工程咨询与监理行业</w:t>
      </w:r>
    </w:p>
    <w:p>
      <w:pPr>
        <w:pStyle w:val="5"/>
        <w:adjustRightInd w:val="0"/>
        <w:snapToGrid w:val="0"/>
        <w:spacing w:beforeAutospacing="0" w:afterAutospacing="0" w:line="52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数字化技能竞赛规则</w:t>
      </w:r>
      <w:bookmarkEnd w:id="1"/>
    </w:p>
    <w:p>
      <w:pPr>
        <w:adjustRightInd w:val="0"/>
        <w:snapToGrid w:val="0"/>
        <w:spacing w:line="520" w:lineRule="exact"/>
        <w:ind w:firstLine="640" w:firstLineChars="200"/>
        <w:jc w:val="left"/>
        <w:rPr>
          <w:rFonts w:ascii="黑体" w:hAnsi="黑体" w:eastAsia="黑体" w:cs="黑体"/>
          <w:sz w:val="32"/>
          <w:szCs w:val="32"/>
        </w:rPr>
      </w:pP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一、竞赛组织职责</w:t>
      </w:r>
    </w:p>
    <w:p>
      <w:pPr>
        <w:adjustRightInd w:val="0"/>
        <w:snapToGrid w:val="0"/>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（一）组委会应履行下列职责：</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1.负责竞赛的组织和管理；</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2.负责竞赛策划书、实施方案的审核、批准；</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3.负责竞赛试题的审核、批准；</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4.对竞赛决赛成绩进行核准；</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5.对竞赛期间的重大事项进行决策；</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6.对竞赛各项组织和赛事工作进行监督检查；</w:t>
      </w:r>
    </w:p>
    <w:p>
      <w:pPr>
        <w:adjustRightInd w:val="0"/>
        <w:snapToGrid w:val="0"/>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（二）竞赛主办方应履行下列职责：</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1.负责发起竞赛；</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2.负责组建组委会；</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3.对组委会工作进行全过程监督管理；</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4.对竞赛优胜单位进行表彰。</w:t>
      </w:r>
    </w:p>
    <w:p>
      <w:pPr>
        <w:adjustRightInd w:val="0"/>
        <w:snapToGrid w:val="0"/>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（三）竞赛承办方应履行下列职责：</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1.在组委会统一领导下，负责竞赛的具体实施工作；</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2.受主办方委托，负责与协办方的协调工作；</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3.在竞赛活动前期要完成竞赛的申报和备案工作；</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4.应当做好赛事活动各项保障工作，负责赛事活动的安全，制定相关预案及安全工作方案，并督促落实各项具体措施。</w:t>
      </w:r>
    </w:p>
    <w:p>
      <w:pPr>
        <w:adjustRightInd w:val="0"/>
        <w:snapToGrid w:val="0"/>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（四）竞赛裁判委员会履行下列职责：</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1.负责竞赛现场裁判工作；</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2.负责确定竞赛成绩；</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3.负责推荐竞赛优胜单位名单。</w:t>
      </w:r>
    </w:p>
    <w:p>
      <w:pPr>
        <w:adjustRightInd w:val="0"/>
        <w:snapToGrid w:val="0"/>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（五）竞赛仲裁委员会应履行下列职责：</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1.负责竞赛中有关事项的仲裁；</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2.负责竞赛现场有关争议的处理。</w:t>
      </w: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二、竞赛工作制度</w:t>
      </w:r>
    </w:p>
    <w:p>
      <w:pPr>
        <w:adjustRightInd w:val="0"/>
        <w:snapToGrid w:val="0"/>
        <w:spacing w:line="52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 xml:space="preserve">本次竞赛本着公平、公正、公开的原则，明确各参赛企业的参赛资格和评审标准,公平和公正性要求规程无歧视性条款,公开和透明性要求规程公开发布并提供透明的信息。 </w:t>
      </w: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三、竞赛题目</w:t>
      </w:r>
    </w:p>
    <w:p>
      <w:pPr>
        <w:adjustRightInd w:val="0"/>
        <w:snapToGrid w:val="0"/>
        <w:spacing w:line="52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 xml:space="preserve">本次竞赛成立题库管理工作委员会，抽调福州市全过程工程咨询与监理行业协会咨询委员会部分专家组成，题库内容由题库管理工作委员会整理、分类、编码后入库。 </w:t>
      </w: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四、竞赛环节</w:t>
      </w:r>
    </w:p>
    <w:p>
      <w:pPr>
        <w:pStyle w:val="2"/>
        <w:ind w:firstLine="643" w:firstLineChars="200"/>
      </w:pPr>
      <w:r>
        <w:rPr>
          <w:rFonts w:hint="eastAsia" w:ascii="楷体_GB2312" w:hAnsi="楷体_GB2312" w:eastAsia="楷体_GB2312" w:cs="楷体_GB2312"/>
          <w:b/>
          <w:bCs/>
          <w:sz w:val="32"/>
          <w:szCs w:val="32"/>
        </w:rPr>
        <w:t>（一）竞赛报名：</w:t>
      </w:r>
      <w:r>
        <w:rPr>
          <w:rFonts w:hint="eastAsia" w:ascii="仿宋_GB2312" w:hAnsi="仿宋_GB2312" w:eastAsia="仿宋_GB2312" w:cs="仿宋_GB2312"/>
          <w:sz w:val="32"/>
          <w:szCs w:val="32"/>
        </w:rPr>
        <w:t>参赛企业请于2024年5月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日前通过福州市全过程工程咨询与监理行业协会官网</w:t>
      </w:r>
      <w:r>
        <w:fldChar w:fldCharType="begin"/>
      </w:r>
      <w:r>
        <w:instrText xml:space="preserve"> HYPERLINK "http://www.fzjsjl.org/" </w:instrText>
      </w:r>
      <w:r>
        <w:fldChar w:fldCharType="separate"/>
      </w:r>
      <w:r>
        <w:rPr>
          <w:rFonts w:hint="eastAsia" w:ascii="仿宋_GB2312" w:hAnsi="仿宋_GB2312" w:eastAsia="仿宋_GB2312" w:cs="仿宋_GB2312"/>
          <w:sz w:val="32"/>
          <w:szCs w:val="32"/>
        </w:rPr>
        <w:t>(www.fzjsjl.org)</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或福州市全过程工程咨询与监理行业协会公众号进行报名，填写相关企业的报名信息，报名信息提交后，由主办方进行审核，审核通过后，报名成功的参赛企业名单将统一在报名截止之日的次日公布于福州市全过程工程咨询与监理行业协会官网，并为每位参赛选手下发本活动账号，后续比赛均通过该账号进入系统，福州市全过程工程咨询与监理行业协会官网也将作为赛事发布的指定网站。</w:t>
      </w:r>
    </w:p>
    <w:p>
      <w:pPr>
        <w:adjustRightInd w:val="0"/>
        <w:snapToGrid w:val="0"/>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（二）初赛：</w:t>
      </w:r>
      <w:r>
        <w:rPr>
          <w:rFonts w:hint="eastAsia" w:ascii="仿宋_GB2312" w:hAnsi="仿宋_GB2312" w:eastAsia="仿宋_GB2312" w:cs="仿宋_GB2312"/>
          <w:sz w:val="32"/>
          <w:szCs w:val="32"/>
        </w:rPr>
        <w:t>初赛线上答题在2024年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日上午10:00举行，线上投票时间为2024年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日止。</w:t>
      </w:r>
    </w:p>
    <w:p>
      <w:pPr>
        <w:adjustRightInd w:val="0"/>
        <w:snapToGrid w:val="0"/>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（三）决赛前培训：</w:t>
      </w:r>
      <w:r>
        <w:rPr>
          <w:rFonts w:hint="eastAsia" w:ascii="仿宋_GB2312" w:hAnsi="仿宋_GB2312" w:eastAsia="仿宋_GB2312" w:cs="仿宋_GB2312"/>
          <w:sz w:val="32"/>
          <w:szCs w:val="32"/>
        </w:rPr>
        <w:t>培训时间与地点另行通知。</w:t>
      </w:r>
    </w:p>
    <w:p>
      <w:pPr>
        <w:adjustRightInd w:val="0"/>
        <w:snapToGrid w:val="0"/>
        <w:spacing w:line="520" w:lineRule="exact"/>
        <w:ind w:firstLine="643" w:firstLineChars="200"/>
        <w:rPr>
          <w:rFonts w:ascii="仿宋_GB2312" w:hAnsi="仿宋_GB2312" w:eastAsia="仿宋_GB2312" w:cs="仿宋_GB2312"/>
          <w:sz w:val="32"/>
          <w:szCs w:val="32"/>
          <w:highlight w:val="yellow"/>
        </w:rPr>
      </w:pPr>
      <w:r>
        <w:rPr>
          <w:rFonts w:hint="eastAsia" w:ascii="楷体_GB2312" w:hAnsi="楷体_GB2312" w:eastAsia="楷体_GB2312" w:cs="楷体_GB2312"/>
          <w:b/>
          <w:bCs/>
          <w:sz w:val="32"/>
          <w:szCs w:val="32"/>
        </w:rPr>
        <w:t>（四）决赛：</w:t>
      </w:r>
      <w:r>
        <w:rPr>
          <w:rFonts w:hint="eastAsia" w:ascii="仿宋_GB2312" w:hAnsi="仿宋_GB2312" w:eastAsia="仿宋_GB2312" w:cs="仿宋_GB2312"/>
          <w:sz w:val="32"/>
          <w:szCs w:val="32"/>
        </w:rPr>
        <w:t>决赛计划在2024年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月下旬举行，具体时间、地点另行通知。</w:t>
      </w: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五、竞赛人员资格要求</w:t>
      </w:r>
    </w:p>
    <w:p>
      <w:pPr>
        <w:adjustRightInd w:val="0"/>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选手应为参赛企业员工，资格由参赛企业本着诚信原则自行审核，在竞赛当中发现选手资格存在异议的，经组委会调查核实，资格弄虚作假者将取消竞赛成绩和继续参赛资格。全体参赛选手要严格遵守《竞赛规则》，如遇不遵守规则的，取消竞赛成绩和继续参赛资格。</w:t>
      </w: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六、竞赛内容及规则</w:t>
      </w:r>
    </w:p>
    <w:p>
      <w:pPr>
        <w:adjustRightInd w:val="0"/>
        <w:snapToGrid w:val="0"/>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（一）初赛：</w:t>
      </w:r>
      <w:r>
        <w:rPr>
          <w:rFonts w:hint="eastAsia" w:ascii="仿宋_GB2312" w:hAnsi="仿宋_GB2312" w:eastAsia="仿宋_GB2312" w:cs="仿宋_GB2312"/>
          <w:sz w:val="32"/>
          <w:szCs w:val="32"/>
        </w:rPr>
        <w:t>在协会的监督下组织遴选，遴选要求采取线上答题和线上投票方式进行。</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选手线上答题：每家参赛企业选派三名参赛选手在规定时间内分别登录竞赛系统进行答题，答题采用系统随机模式从竞赛题库中抽选300题作为竞赛题目，题型为单选题，限时30分钟，满分100分。每位参赛选手在规定的时间内提交考卷之后，本次线上答题结束。</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企业线上投票：投票活动由组委会发起投票，设定投票时间为7天。所有参赛企业可将投票链接分享到微信朋友圈，每个微信号每天只允许投一次票，每次最多可以选择三家参赛企业进行投票，投票截止后，组委会根据每家参赛企业线上答题分和线上投票分计算总分。</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初赛总分计算方式：</w:t>
      </w:r>
    </w:p>
    <w:p>
      <w:pPr>
        <w:pStyle w:val="2"/>
        <w:ind w:firstLine="360"/>
      </w:pPr>
      <w:r>
        <w:drawing>
          <wp:inline distT="0" distB="0" distL="0" distR="0">
            <wp:extent cx="5615940" cy="1110615"/>
            <wp:effectExtent l="0" t="0" r="3810" b="13335"/>
            <wp:docPr id="10474172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417258"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615940" cy="1110615"/>
                    </a:xfrm>
                    <a:prstGeom prst="rect">
                      <a:avLst/>
                    </a:prstGeom>
                    <a:noFill/>
                    <a:ln>
                      <a:noFill/>
                    </a:ln>
                  </pic:spPr>
                </pic:pic>
              </a:graphicData>
            </a:graphic>
          </wp:inline>
        </w:drawing>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线上答题分数占90%，线上投票占10%，总分300分。</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如参赛企业A的三位参赛选手的考试成绩总和为275分，投票数为850票，所有企业中最高票数为900票，则：</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该企业的考试成绩占比为275*90%=247.50分。</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以最高票数900票，300分计算，则参赛企业的投票得分为：(850/900)*300=283.33分。</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投票分占10%计算得分为：283.33*10%=28.33分。</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该参赛企业的最后分数为：247.50+28.33=275.83分。</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投票结束后组委会根据参赛企业总分从高到低的顺序进行排序，并在福州市全过程工程咨询与监理行业协会官网进行公示，公示期3天，公示结束后，取前12名的参赛企业团队进入决赛。</w:t>
      </w:r>
    </w:p>
    <w:p>
      <w:pPr>
        <w:adjustRightInd w:val="0"/>
        <w:snapToGrid w:val="0"/>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（二）决赛：</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决赛前大赛组委会将根据情况安排培训，培训时间另行通知。决赛采用</w:t>
      </w:r>
      <w:r>
        <w:rPr>
          <w:rFonts w:hint="eastAsia" w:ascii="仿宋" w:hAnsi="仿宋" w:eastAsia="仿宋"/>
          <w:sz w:val="32"/>
          <w:szCs w:val="32"/>
        </w:rPr>
        <w:t>数字化实操模式，即通过智能化设备、软件系统模拟日常监理工作的实际场景，远程调用施工现场智能设备进行远程在线检查、量测等操作。</w:t>
      </w:r>
      <w:r>
        <w:rPr>
          <w:rFonts w:hint="eastAsia" w:ascii="仿宋_GB2312" w:hAnsi="仿宋_GB2312" w:eastAsia="仿宋_GB2312" w:cs="仿宋_GB2312"/>
          <w:sz w:val="32"/>
          <w:szCs w:val="32"/>
        </w:rPr>
        <w:t>题型分为必答题和抢答题两个环节进行，每个代表队给予基本分100分。</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第一轮：必答题环节</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小组必答题题型为单选题、多选题或判断题，共有10道必答题，每支参赛企业的三名选手可以选派任意一名选手回答问题，每题分值10分，每题答题限时3分钟。答对加10分，答错、超时、补充、提示不得分，计时从出题完毕后开始。</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第二轮：抢答题环节</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抢答题题型为</w:t>
      </w:r>
      <w:bookmarkStart w:id="0" w:name="_Hlk162890301"/>
      <w:r>
        <w:rPr>
          <w:rFonts w:hint="eastAsia" w:ascii="仿宋_GB2312" w:hAnsi="仿宋_GB2312" w:eastAsia="仿宋_GB2312" w:cs="仿宋_GB2312"/>
          <w:sz w:val="32"/>
          <w:szCs w:val="32"/>
        </w:rPr>
        <w:t>单选题或多选题</w:t>
      </w:r>
      <w:bookmarkEnd w:id="0"/>
      <w:r>
        <w:rPr>
          <w:rFonts w:hint="eastAsia" w:ascii="仿宋_GB2312" w:hAnsi="仿宋_GB2312" w:eastAsia="仿宋_GB2312" w:cs="仿宋_GB2312"/>
          <w:sz w:val="32"/>
          <w:szCs w:val="32"/>
        </w:rPr>
        <w:t>，共</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题，每题分值为</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分。在主持人读题完毕后，各参赛企业可抢答，抢到的参赛企业需在限时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分钟内完成作答。抢到答题权的参赛企业，若答对，则加</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分；若答错或在规定时间内无法给出答案，则扣</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分。主持人宣布抢答后</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秒若无人抢答，本题作废，进入下题抢答。</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果在上述环节结束后，出现参赛企业分值并列的情况，则分值并列的参赛企业需进行加试赛，即设抢答附加题决出名次，只要在加试赛中分数领先即为胜出；若有多支参赛企业成绩并列，则采取多轮抢答模式，以此决出名次。加试赛分值不计入总分，单独计分确定参赛企业名次。每支参赛企业派一名代表作答，答对得分，答错、超时、违规，不得分。</w:t>
      </w: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七、竞赛奖励</w:t>
      </w:r>
    </w:p>
    <w:p>
      <w:pPr>
        <w:adjustRightInd w:val="0"/>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本次奖项按企业代表队设团体奖：一等奖2名</w:t>
      </w:r>
      <w:r>
        <w:rPr>
          <w:rFonts w:hint="eastAsia" w:ascii="仿宋_GB2312" w:hAnsi="仿宋_GB2312" w:eastAsia="仿宋_GB2312" w:cs="仿宋_GB2312"/>
          <w:sz w:val="32"/>
          <w:szCs w:val="32"/>
          <w:lang w:val="en-US" w:eastAsia="zh-CN"/>
        </w:rPr>
        <w:t>分别给予奖金3000元</w:t>
      </w:r>
      <w:r>
        <w:rPr>
          <w:rFonts w:hint="eastAsia" w:ascii="仿宋_GB2312" w:hAnsi="仿宋_GB2312" w:eastAsia="仿宋_GB2312" w:cs="仿宋_GB2312"/>
          <w:sz w:val="32"/>
          <w:szCs w:val="32"/>
        </w:rPr>
        <w:t>、二等奖4名</w:t>
      </w:r>
      <w:r>
        <w:rPr>
          <w:rFonts w:hint="eastAsia" w:ascii="仿宋_GB2312" w:hAnsi="仿宋_GB2312" w:eastAsia="仿宋_GB2312" w:cs="仿宋_GB2312"/>
          <w:sz w:val="32"/>
          <w:szCs w:val="32"/>
          <w:lang w:val="en-US" w:eastAsia="zh-CN"/>
        </w:rPr>
        <w:t>分别给予奖金2400元</w:t>
      </w:r>
      <w:r>
        <w:rPr>
          <w:rFonts w:hint="eastAsia" w:ascii="仿宋_GB2312" w:hAnsi="仿宋_GB2312" w:eastAsia="仿宋_GB2312" w:cs="仿宋_GB2312"/>
          <w:sz w:val="32"/>
          <w:szCs w:val="32"/>
        </w:rPr>
        <w:t>、三等奖6名</w:t>
      </w:r>
      <w:r>
        <w:rPr>
          <w:rFonts w:hint="eastAsia" w:ascii="仿宋_GB2312" w:hAnsi="仿宋_GB2312" w:eastAsia="仿宋_GB2312" w:cs="仿宋_GB2312"/>
          <w:sz w:val="32"/>
          <w:szCs w:val="32"/>
          <w:lang w:val="en-US" w:eastAsia="zh-CN"/>
        </w:rPr>
        <w:t>分别给予奖金1800元</w:t>
      </w:r>
      <w:r>
        <w:rPr>
          <w:rFonts w:hint="eastAsia" w:ascii="仿宋_GB2312" w:hAnsi="仿宋_GB2312" w:eastAsia="仿宋_GB2312" w:cs="仿宋_GB2312"/>
          <w:sz w:val="32"/>
          <w:szCs w:val="32"/>
        </w:rPr>
        <w:t>。</w:t>
      </w:r>
    </w:p>
    <w:p>
      <w:pPr>
        <w:adjustRightInd w:val="0"/>
        <w:snapToGrid w:val="0"/>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荣获团体一等奖单位可按程序向福州市总工会申报市级工人先锋号。</w:t>
      </w: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八、竞赛规则的解释</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大赛组委会负责解释本规则。</w:t>
      </w:r>
    </w:p>
    <w:p>
      <w:pPr>
        <w:adjustRightInd w:val="0"/>
        <w:snapToGrid w:val="0"/>
        <w:spacing w:line="520" w:lineRule="exact"/>
        <w:ind w:firstLine="420" w:firstLineChars="200"/>
      </w:pPr>
    </w:p>
    <w:p/>
    <w:sectPr>
      <w:footerReference r:id="rId3" w:type="default"/>
      <w:pgSz w:w="11906" w:h="16838"/>
      <w:pgMar w:top="2154"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OWViNWVmZWVmMzM3M2I0ZTBiMWUxNjJlMTg5YjQifQ=="/>
  </w:docVars>
  <w:rsids>
    <w:rsidRoot w:val="1F5673E6"/>
    <w:rsid w:val="1F567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customStyle="1" w:styleId="3">
    <w:name w:val="正文缩进311"/>
    <w:next w:val="1"/>
    <w:autoRedefine/>
    <w:qFormat/>
    <w:uiPriority w:val="0"/>
    <w:pPr>
      <w:wordWrap w:val="0"/>
      <w:ind w:left="3400"/>
      <w:jc w:val="both"/>
    </w:pPr>
    <w:rPr>
      <w:rFonts w:ascii="Calibri" w:hAnsi="Calibri" w:eastAsia="宋体" w:cs="Times New Roman"/>
      <w:sz w:val="21"/>
      <w:szCs w:val="22"/>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2024-05-31T02:02:00Z</dcterms:created>
  <dc:creator>Yinga</dc:creator>
  <cp:lastModifiedBy>Yinga</cp:lastModifiedBy>
  <dcterms:modified xsi:type="dcterms:W3CDTF">2024-05-31T02:03:01Z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63A112B729EF4A619B9206421017D4C3_11</vt:lpwstr>
  </property>
</Properties>
</file>